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693" w:type="dxa"/>
        <w:tblInd w:w="93" w:type="dxa"/>
        <w:tblLayout w:type="fixed"/>
        <w:tblLook w:val="04A0" w:firstRow="1" w:lastRow="0" w:firstColumn="1" w:lastColumn="0" w:noHBand="0" w:noVBand="1"/>
      </w:tblPr>
      <w:tblGrid>
        <w:gridCol w:w="467"/>
        <w:gridCol w:w="1834"/>
        <w:gridCol w:w="2209"/>
        <w:gridCol w:w="1601"/>
        <w:gridCol w:w="1417"/>
        <w:gridCol w:w="3827"/>
        <w:gridCol w:w="3338"/>
      </w:tblGrid>
      <w:tr w:rsidR="00AB0BF5" w:rsidRPr="00AB0BF5" w:rsidTr="00AB0BF5">
        <w:trPr>
          <w:trHeight w:val="300"/>
        </w:trPr>
        <w:tc>
          <w:tcPr>
            <w:tcW w:w="14693" w:type="dxa"/>
            <w:gridSpan w:val="7"/>
            <w:tcBorders>
              <w:top w:val="nil"/>
              <w:left w:val="nil"/>
              <w:bottom w:val="nil"/>
              <w:right w:val="nil"/>
            </w:tcBorders>
            <w:shd w:val="clear" w:color="auto" w:fill="auto"/>
            <w:noWrap/>
            <w:vAlign w:val="bottom"/>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proofErr w:type="gramStart"/>
            <w:r w:rsidRPr="00AB0BF5">
              <w:rPr>
                <w:rFonts w:ascii="Calibri" w:eastAsia="Times New Roman" w:hAnsi="Calibri" w:cs="Times New Roman"/>
                <w:color w:val="000000"/>
                <w:lang w:eastAsia="ru-RU"/>
              </w:rPr>
              <w:t xml:space="preserve">Независимая оценка качества условий оказания услуг проведена в соответствии с приказом Министерства Просвещения Российской Федерации от 13 марта 2019 года № 114 «Об утверждении показателей, характеризующих общие критерии оценки качества условий осуществления образовательной деятельности организациями, осуществляющими образовательную деятельность по основным общеобразовательным программам, образовательным программам среднего профессионального образования, основным программам профессионального обучения, дополнительным общеобразовательным программам». </w:t>
            </w:r>
            <w:proofErr w:type="gramEnd"/>
          </w:p>
        </w:tc>
      </w:tr>
      <w:tr w:rsidR="00AB0BF5" w:rsidRPr="00AB0BF5" w:rsidTr="00AB0BF5">
        <w:trPr>
          <w:trHeight w:val="300"/>
        </w:trPr>
        <w:tc>
          <w:tcPr>
            <w:tcW w:w="467" w:type="dxa"/>
            <w:tcBorders>
              <w:top w:val="nil"/>
              <w:left w:val="nil"/>
              <w:bottom w:val="nil"/>
              <w:right w:val="nil"/>
            </w:tcBorders>
            <w:shd w:val="clear" w:color="auto" w:fill="auto"/>
            <w:noWrap/>
            <w:vAlign w:val="bottom"/>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p>
        </w:tc>
      </w:tr>
      <w:tr w:rsidR="00AB0BF5" w:rsidRPr="00AB0BF5" w:rsidTr="00DD2A4B">
        <w:trPr>
          <w:trHeight w:val="300"/>
        </w:trPr>
        <w:tc>
          <w:tcPr>
            <w:tcW w:w="467" w:type="dxa"/>
            <w:tcBorders>
              <w:top w:val="nil"/>
              <w:left w:val="nil"/>
              <w:bottom w:val="nil"/>
              <w:right w:val="nil"/>
            </w:tcBorders>
            <w:shd w:val="clear" w:color="auto" w:fill="auto"/>
            <w:noWrap/>
            <w:vAlign w:val="bottom"/>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bookmarkStart w:id="0" w:name="_GoBack" w:colFirst="2" w:colLast="2"/>
          </w:p>
        </w:tc>
        <w:tc>
          <w:tcPr>
            <w:tcW w:w="1834" w:type="dxa"/>
            <w:tcBorders>
              <w:top w:val="nil"/>
              <w:left w:val="nil"/>
              <w:bottom w:val="nil"/>
              <w:right w:val="nil"/>
            </w:tcBorders>
            <w:shd w:val="clear" w:color="auto" w:fill="auto"/>
            <w:noWrap/>
            <w:vAlign w:val="bottom"/>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r w:rsidRPr="00AB0BF5">
              <w:rPr>
                <w:rFonts w:ascii="Calibri" w:eastAsia="Times New Roman" w:hAnsi="Calibri" w:cs="Times New Roman"/>
                <w:color w:val="000000"/>
                <w:lang w:eastAsia="ru-RU"/>
              </w:rPr>
              <w:t>Наименование</w:t>
            </w:r>
          </w:p>
        </w:tc>
        <w:tc>
          <w:tcPr>
            <w:tcW w:w="9054" w:type="dxa"/>
            <w:gridSpan w:val="4"/>
            <w:tcBorders>
              <w:top w:val="nil"/>
              <w:left w:val="nil"/>
              <w:bottom w:val="nil"/>
              <w:right w:val="nil"/>
            </w:tcBorders>
            <w:shd w:val="clear" w:color="auto" w:fill="auto"/>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r w:rsidRPr="00AB0BF5">
              <w:rPr>
                <w:rFonts w:ascii="Times New Roman" w:eastAsia="Times New Roman" w:hAnsi="Times New Roman" w:cs="Times New Roman"/>
                <w:color w:val="000000"/>
                <w:lang w:eastAsia="ru-RU"/>
              </w:rPr>
              <w:t>МБОУ "</w:t>
            </w:r>
            <w:proofErr w:type="spellStart"/>
            <w:r w:rsidRPr="00AB0BF5">
              <w:rPr>
                <w:rFonts w:ascii="Times New Roman" w:eastAsia="Times New Roman" w:hAnsi="Times New Roman" w:cs="Times New Roman"/>
                <w:color w:val="000000"/>
                <w:lang w:eastAsia="ru-RU"/>
              </w:rPr>
              <w:t>Елизовская</w:t>
            </w:r>
            <w:proofErr w:type="spellEnd"/>
            <w:r w:rsidRPr="00AB0BF5">
              <w:rPr>
                <w:rFonts w:ascii="Times New Roman" w:eastAsia="Times New Roman" w:hAnsi="Times New Roman" w:cs="Times New Roman"/>
                <w:color w:val="000000"/>
                <w:lang w:eastAsia="ru-RU"/>
              </w:rPr>
              <w:t xml:space="preserve"> средняя школа № 7 им. О.Н. </w:t>
            </w:r>
            <w:proofErr w:type="spellStart"/>
            <w:r w:rsidRPr="00AB0BF5">
              <w:rPr>
                <w:rFonts w:ascii="Times New Roman" w:eastAsia="Times New Roman" w:hAnsi="Times New Roman" w:cs="Times New Roman"/>
                <w:color w:val="000000"/>
                <w:lang w:eastAsia="ru-RU"/>
              </w:rPr>
              <w:t>Мамченкова</w:t>
            </w:r>
            <w:proofErr w:type="spellEnd"/>
            <w:r w:rsidRPr="00AB0BF5">
              <w:rPr>
                <w:rFonts w:ascii="Times New Roman" w:eastAsia="Times New Roman" w:hAnsi="Times New Roman" w:cs="Times New Roman"/>
                <w:color w:val="000000"/>
                <w:lang w:eastAsia="ru-RU"/>
              </w:rPr>
              <w:t>"</w:t>
            </w:r>
          </w:p>
        </w:tc>
        <w:tc>
          <w:tcPr>
            <w:tcW w:w="3338" w:type="dxa"/>
            <w:tcBorders>
              <w:top w:val="nil"/>
              <w:left w:val="nil"/>
              <w:bottom w:val="nil"/>
              <w:right w:val="nil"/>
            </w:tcBorders>
            <w:shd w:val="clear" w:color="auto" w:fill="auto"/>
            <w:noWrap/>
            <w:vAlign w:val="center"/>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p>
        </w:tc>
      </w:tr>
      <w:bookmarkEnd w:id="0"/>
      <w:tr w:rsidR="00AB0BF5" w:rsidRPr="00AB0BF5" w:rsidTr="00AB0BF5">
        <w:trPr>
          <w:trHeight w:val="300"/>
        </w:trPr>
        <w:tc>
          <w:tcPr>
            <w:tcW w:w="467" w:type="dxa"/>
            <w:tcBorders>
              <w:top w:val="nil"/>
              <w:left w:val="nil"/>
              <w:bottom w:val="nil"/>
              <w:right w:val="nil"/>
            </w:tcBorders>
            <w:shd w:val="clear" w:color="auto" w:fill="auto"/>
            <w:noWrap/>
            <w:vAlign w:val="bottom"/>
            <w:hideMark/>
          </w:tcPr>
          <w:p w:rsidR="00AB0BF5" w:rsidRPr="00AB0BF5" w:rsidRDefault="00AB0BF5" w:rsidP="00AB0BF5">
            <w:pPr>
              <w:spacing w:after="0" w:line="240" w:lineRule="auto"/>
              <w:rPr>
                <w:rFonts w:ascii="Calibri" w:eastAsia="Times New Roman" w:hAnsi="Calibri" w:cs="Times New Roman"/>
                <w:color w:val="000000"/>
                <w:lang w:eastAsia="ru-RU"/>
              </w:rPr>
            </w:pPr>
          </w:p>
        </w:tc>
        <w:tc>
          <w:tcPr>
            <w:tcW w:w="1834" w:type="dxa"/>
            <w:tcBorders>
              <w:top w:val="nil"/>
              <w:left w:val="nil"/>
              <w:bottom w:val="nil"/>
              <w:right w:val="nil"/>
            </w:tcBorders>
            <w:shd w:val="clear" w:color="auto" w:fill="auto"/>
            <w:noWrap/>
            <w:vAlign w:val="bottom"/>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p>
        </w:tc>
        <w:tc>
          <w:tcPr>
            <w:tcW w:w="2209" w:type="dxa"/>
            <w:tcBorders>
              <w:top w:val="nil"/>
              <w:left w:val="nil"/>
              <w:bottom w:val="nil"/>
              <w:right w:val="nil"/>
            </w:tcBorders>
            <w:shd w:val="clear" w:color="auto" w:fill="auto"/>
            <w:noWrap/>
            <w:vAlign w:val="bottom"/>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p>
        </w:tc>
        <w:tc>
          <w:tcPr>
            <w:tcW w:w="1601" w:type="dxa"/>
            <w:tcBorders>
              <w:top w:val="nil"/>
              <w:left w:val="nil"/>
              <w:bottom w:val="nil"/>
              <w:right w:val="nil"/>
            </w:tcBorders>
            <w:shd w:val="clear" w:color="auto" w:fill="auto"/>
            <w:noWrap/>
            <w:vAlign w:val="bottom"/>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p>
        </w:tc>
        <w:tc>
          <w:tcPr>
            <w:tcW w:w="1417" w:type="dxa"/>
            <w:tcBorders>
              <w:top w:val="nil"/>
              <w:left w:val="nil"/>
              <w:bottom w:val="nil"/>
              <w:right w:val="nil"/>
            </w:tcBorders>
            <w:shd w:val="clear" w:color="auto" w:fill="auto"/>
            <w:noWrap/>
            <w:vAlign w:val="bottom"/>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p>
        </w:tc>
        <w:tc>
          <w:tcPr>
            <w:tcW w:w="3827" w:type="dxa"/>
            <w:tcBorders>
              <w:top w:val="nil"/>
              <w:left w:val="nil"/>
              <w:bottom w:val="nil"/>
              <w:right w:val="nil"/>
            </w:tcBorders>
            <w:shd w:val="clear" w:color="auto" w:fill="auto"/>
            <w:noWrap/>
            <w:vAlign w:val="bottom"/>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p>
        </w:tc>
        <w:tc>
          <w:tcPr>
            <w:tcW w:w="3338" w:type="dxa"/>
            <w:tcBorders>
              <w:top w:val="nil"/>
              <w:left w:val="nil"/>
              <w:bottom w:val="nil"/>
              <w:right w:val="nil"/>
            </w:tcBorders>
            <w:shd w:val="clear" w:color="auto" w:fill="auto"/>
            <w:noWrap/>
            <w:vAlign w:val="center"/>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p>
        </w:tc>
      </w:tr>
      <w:tr w:rsidR="00AB0BF5" w:rsidRPr="00AB0BF5" w:rsidTr="00AB0BF5">
        <w:trPr>
          <w:trHeight w:val="300"/>
        </w:trPr>
        <w:tc>
          <w:tcPr>
            <w:tcW w:w="46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b/>
                <w:bCs/>
                <w:color w:val="000000"/>
                <w:sz w:val="20"/>
                <w:szCs w:val="20"/>
                <w:lang w:eastAsia="ru-RU"/>
              </w:rPr>
            </w:pPr>
            <w:r w:rsidRPr="00AB0BF5">
              <w:rPr>
                <w:rFonts w:ascii="Times New Roman" w:eastAsia="Times New Roman" w:hAnsi="Times New Roman" w:cs="Times New Roman"/>
                <w:b/>
                <w:bCs/>
                <w:color w:val="000000"/>
                <w:sz w:val="20"/>
                <w:szCs w:val="20"/>
                <w:lang w:eastAsia="ru-RU"/>
              </w:rPr>
              <w:t xml:space="preserve">№ </w:t>
            </w:r>
            <w:proofErr w:type="gramStart"/>
            <w:r w:rsidRPr="00AB0BF5">
              <w:rPr>
                <w:rFonts w:ascii="Times New Roman" w:eastAsia="Times New Roman" w:hAnsi="Times New Roman" w:cs="Times New Roman"/>
                <w:b/>
                <w:bCs/>
                <w:color w:val="000000"/>
                <w:sz w:val="20"/>
                <w:szCs w:val="20"/>
                <w:lang w:eastAsia="ru-RU"/>
              </w:rPr>
              <w:t>п</w:t>
            </w:r>
            <w:proofErr w:type="gramEnd"/>
            <w:r w:rsidRPr="00AB0BF5">
              <w:rPr>
                <w:rFonts w:ascii="Times New Roman" w:eastAsia="Times New Roman" w:hAnsi="Times New Roman" w:cs="Times New Roman"/>
                <w:b/>
                <w:bCs/>
                <w:color w:val="000000"/>
                <w:sz w:val="20"/>
                <w:szCs w:val="20"/>
                <w:lang w:eastAsia="ru-RU"/>
              </w:rPr>
              <w:t>/п</w:t>
            </w:r>
          </w:p>
        </w:tc>
        <w:tc>
          <w:tcPr>
            <w:tcW w:w="1834" w:type="dxa"/>
            <w:tcBorders>
              <w:top w:val="single" w:sz="4" w:space="0" w:color="auto"/>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b/>
                <w:bCs/>
                <w:color w:val="000000"/>
                <w:sz w:val="20"/>
                <w:szCs w:val="20"/>
                <w:lang w:eastAsia="ru-RU"/>
              </w:rPr>
            </w:pPr>
            <w:r w:rsidRPr="00AB0BF5">
              <w:rPr>
                <w:rFonts w:ascii="Times New Roman" w:eastAsia="Times New Roman" w:hAnsi="Times New Roman" w:cs="Times New Roman"/>
                <w:b/>
                <w:bCs/>
                <w:color w:val="000000"/>
                <w:sz w:val="20"/>
                <w:szCs w:val="20"/>
                <w:lang w:eastAsia="ru-RU"/>
              </w:rPr>
              <w:t>Критерии</w:t>
            </w:r>
          </w:p>
        </w:tc>
        <w:tc>
          <w:tcPr>
            <w:tcW w:w="2209" w:type="dxa"/>
            <w:tcBorders>
              <w:top w:val="single" w:sz="4" w:space="0" w:color="auto"/>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b/>
                <w:bCs/>
                <w:color w:val="000000"/>
                <w:sz w:val="20"/>
                <w:szCs w:val="20"/>
                <w:lang w:eastAsia="ru-RU"/>
              </w:rPr>
            </w:pPr>
            <w:r w:rsidRPr="00AB0BF5">
              <w:rPr>
                <w:rFonts w:ascii="Times New Roman" w:eastAsia="Times New Roman" w:hAnsi="Times New Roman" w:cs="Times New Roman"/>
                <w:b/>
                <w:bCs/>
                <w:color w:val="000000"/>
                <w:sz w:val="20"/>
                <w:szCs w:val="20"/>
                <w:lang w:eastAsia="ru-RU"/>
              </w:rPr>
              <w:t>Показатели</w:t>
            </w:r>
          </w:p>
        </w:tc>
        <w:tc>
          <w:tcPr>
            <w:tcW w:w="1601" w:type="dxa"/>
            <w:tcBorders>
              <w:top w:val="single" w:sz="4" w:space="0" w:color="auto"/>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b/>
                <w:bCs/>
                <w:color w:val="000000"/>
                <w:sz w:val="20"/>
                <w:szCs w:val="20"/>
                <w:lang w:eastAsia="ru-RU"/>
              </w:rPr>
            </w:pPr>
            <w:r w:rsidRPr="00AB0BF5">
              <w:rPr>
                <w:rFonts w:ascii="Times New Roman" w:eastAsia="Times New Roman" w:hAnsi="Times New Roman" w:cs="Times New Roman"/>
                <w:b/>
                <w:bCs/>
                <w:color w:val="000000"/>
                <w:sz w:val="20"/>
                <w:szCs w:val="20"/>
                <w:lang w:eastAsia="ru-RU"/>
              </w:rPr>
              <w:t>Максимальное  значение (балл)</w:t>
            </w:r>
          </w:p>
        </w:tc>
        <w:tc>
          <w:tcPr>
            <w:tcW w:w="1417" w:type="dxa"/>
            <w:tcBorders>
              <w:top w:val="single" w:sz="4" w:space="0" w:color="auto"/>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b/>
                <w:bCs/>
                <w:color w:val="000000"/>
                <w:sz w:val="20"/>
                <w:szCs w:val="20"/>
                <w:lang w:eastAsia="ru-RU"/>
              </w:rPr>
            </w:pPr>
            <w:r w:rsidRPr="00AB0BF5">
              <w:rPr>
                <w:rFonts w:ascii="Times New Roman" w:eastAsia="Times New Roman" w:hAnsi="Times New Roman" w:cs="Times New Roman"/>
                <w:b/>
                <w:bCs/>
                <w:color w:val="000000"/>
                <w:sz w:val="20"/>
                <w:szCs w:val="20"/>
                <w:lang w:eastAsia="ru-RU"/>
              </w:rPr>
              <w:t>Результаты (балл)</w:t>
            </w:r>
          </w:p>
        </w:tc>
        <w:tc>
          <w:tcPr>
            <w:tcW w:w="3827" w:type="dxa"/>
            <w:tcBorders>
              <w:top w:val="single" w:sz="4" w:space="0" w:color="auto"/>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b/>
                <w:bCs/>
                <w:color w:val="000000"/>
                <w:sz w:val="20"/>
                <w:szCs w:val="20"/>
                <w:lang w:eastAsia="ru-RU"/>
              </w:rPr>
            </w:pPr>
            <w:r w:rsidRPr="00AB0BF5">
              <w:rPr>
                <w:rFonts w:ascii="Times New Roman" w:eastAsia="Times New Roman" w:hAnsi="Times New Roman" w:cs="Times New Roman"/>
                <w:b/>
                <w:bCs/>
                <w:color w:val="000000"/>
                <w:sz w:val="20"/>
                <w:szCs w:val="20"/>
                <w:lang w:eastAsia="ru-RU"/>
              </w:rPr>
              <w:t>Основные недостатки в работе организаций социального обслуживания, выявленные в ходе сбора и обобщения информации о качестве оказания услуг</w:t>
            </w:r>
          </w:p>
        </w:tc>
        <w:tc>
          <w:tcPr>
            <w:tcW w:w="3338" w:type="dxa"/>
            <w:tcBorders>
              <w:top w:val="single" w:sz="4" w:space="0" w:color="auto"/>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b/>
                <w:bCs/>
                <w:color w:val="000000"/>
                <w:sz w:val="20"/>
                <w:szCs w:val="20"/>
                <w:lang w:eastAsia="ru-RU"/>
              </w:rPr>
            </w:pPr>
            <w:r w:rsidRPr="00AB0BF5">
              <w:rPr>
                <w:rFonts w:ascii="Times New Roman" w:eastAsia="Times New Roman" w:hAnsi="Times New Roman" w:cs="Times New Roman"/>
                <w:b/>
                <w:bCs/>
                <w:color w:val="000000"/>
                <w:sz w:val="20"/>
                <w:szCs w:val="20"/>
                <w:lang w:eastAsia="ru-RU"/>
              </w:rPr>
              <w:t>Выводы и предложения по совершенствованию деятельности организаций социального обслуживания</w:t>
            </w:r>
          </w:p>
        </w:tc>
      </w:tr>
      <w:tr w:rsidR="00AB0BF5" w:rsidRPr="00AB0BF5" w:rsidTr="00AB0BF5">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1</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Открытость и доступность информации об организации</w:t>
            </w:r>
          </w:p>
        </w:tc>
        <w:tc>
          <w:tcPr>
            <w:tcW w:w="2209"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1.1.1. Соответствие информации о деятельности организации социальной сферы, размещенной на общедоступных информационных ресурсах (сайт)</w:t>
            </w:r>
          </w:p>
        </w:tc>
        <w:tc>
          <w:tcPr>
            <w:tcW w:w="1601"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100</w:t>
            </w:r>
          </w:p>
        </w:tc>
        <w:tc>
          <w:tcPr>
            <w:tcW w:w="141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99,1</w:t>
            </w:r>
          </w:p>
        </w:tc>
        <w:tc>
          <w:tcPr>
            <w:tcW w:w="3827" w:type="dxa"/>
            <w:tcBorders>
              <w:top w:val="nil"/>
              <w:left w:val="nil"/>
              <w:bottom w:val="single" w:sz="4" w:space="0" w:color="auto"/>
              <w:right w:val="single" w:sz="4" w:space="0" w:color="auto"/>
            </w:tcBorders>
            <w:shd w:val="clear" w:color="auto" w:fill="auto"/>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 xml:space="preserve">Отсутствует: Отчет о результатах </w:t>
            </w:r>
            <w:proofErr w:type="spellStart"/>
            <w:r w:rsidRPr="00AB0BF5">
              <w:rPr>
                <w:rFonts w:ascii="Times New Roman" w:eastAsia="Times New Roman" w:hAnsi="Times New Roman" w:cs="Times New Roman"/>
                <w:color w:val="000000"/>
                <w:lang w:eastAsia="ru-RU"/>
              </w:rPr>
              <w:t>самообследования</w:t>
            </w:r>
            <w:proofErr w:type="spellEnd"/>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Для повышения показателей информационной открытости необходимо устранить выявленные недостатки информационных стендов, находящихся внутри образовательной организации, а также официального сайта организации</w:t>
            </w:r>
          </w:p>
        </w:tc>
      </w:tr>
      <w:tr w:rsidR="00AB0BF5" w:rsidRPr="00AB0BF5" w:rsidTr="00AB0BF5">
        <w:trPr>
          <w:trHeight w:val="300"/>
        </w:trPr>
        <w:tc>
          <w:tcPr>
            <w:tcW w:w="467"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1.1.2. Соответствие информации о деятельности организации социальной сферы, размещенной на общедоступных информационных ресурсах (стенд)</w:t>
            </w:r>
          </w:p>
        </w:tc>
        <w:tc>
          <w:tcPr>
            <w:tcW w:w="1601"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lang w:eastAsia="ru-RU"/>
              </w:rPr>
            </w:pPr>
          </w:p>
        </w:tc>
        <w:tc>
          <w:tcPr>
            <w:tcW w:w="1417"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lang w:eastAsia="ru-RU"/>
              </w:rPr>
            </w:pPr>
          </w:p>
        </w:tc>
        <w:tc>
          <w:tcPr>
            <w:tcW w:w="3827" w:type="dxa"/>
            <w:tcBorders>
              <w:top w:val="nil"/>
              <w:left w:val="nil"/>
              <w:bottom w:val="single" w:sz="4" w:space="0" w:color="auto"/>
              <w:right w:val="single" w:sz="4" w:space="0" w:color="auto"/>
            </w:tcBorders>
            <w:shd w:val="clear" w:color="auto" w:fill="auto"/>
            <w:vAlign w:val="center"/>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r w:rsidRPr="00AB0BF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lang w:eastAsia="ru-RU"/>
              </w:rPr>
            </w:pPr>
          </w:p>
        </w:tc>
      </w:tr>
      <w:tr w:rsidR="00AB0BF5" w:rsidRPr="00AB0BF5" w:rsidTr="00AB0BF5">
        <w:trPr>
          <w:trHeight w:val="300"/>
        </w:trPr>
        <w:tc>
          <w:tcPr>
            <w:tcW w:w="467"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 xml:space="preserve">1.2. Наличие на официальном сайте организации социальной сферы информации о </w:t>
            </w:r>
            <w:r w:rsidRPr="00AB0BF5">
              <w:rPr>
                <w:rFonts w:ascii="Times New Roman" w:eastAsia="Times New Roman" w:hAnsi="Times New Roman" w:cs="Times New Roman"/>
                <w:color w:val="000000"/>
                <w:sz w:val="20"/>
                <w:szCs w:val="20"/>
                <w:lang w:eastAsia="ru-RU"/>
              </w:rPr>
              <w:lastRenderedPageBreak/>
              <w:t>дистанционных способах обратной связи и взаимодействия с получателями услуг и их функционирование</w:t>
            </w:r>
          </w:p>
        </w:tc>
        <w:tc>
          <w:tcPr>
            <w:tcW w:w="1601"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90,0</w:t>
            </w:r>
          </w:p>
        </w:tc>
        <w:tc>
          <w:tcPr>
            <w:tcW w:w="3827" w:type="dxa"/>
            <w:tcBorders>
              <w:top w:val="nil"/>
              <w:left w:val="nil"/>
              <w:bottom w:val="single" w:sz="4" w:space="0" w:color="auto"/>
              <w:right w:val="single" w:sz="4" w:space="0" w:color="auto"/>
            </w:tcBorders>
            <w:shd w:val="clear" w:color="auto" w:fill="auto"/>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Отсутствует анкета оценки оказания качества услуг или ссылка на нее.</w:t>
            </w:r>
          </w:p>
        </w:tc>
        <w:tc>
          <w:tcPr>
            <w:tcW w:w="3338"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lang w:eastAsia="ru-RU"/>
              </w:rPr>
            </w:pPr>
          </w:p>
        </w:tc>
      </w:tr>
      <w:tr w:rsidR="00AB0BF5" w:rsidRPr="00AB0BF5" w:rsidTr="00AB0BF5">
        <w:trPr>
          <w:trHeight w:val="300"/>
        </w:trPr>
        <w:tc>
          <w:tcPr>
            <w:tcW w:w="467"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1.3. Доля получателей услуг, удовлетворенных открытостью, полнотой и доступностью информации о деятельности организации социальной сферы, размещённой на информационных стендах в помещении организации социальной сферы, на официальном сайте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96,5</w:t>
            </w:r>
          </w:p>
        </w:tc>
        <w:tc>
          <w:tcPr>
            <w:tcW w:w="382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r w:rsidRPr="00AB0BF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lang w:eastAsia="ru-RU"/>
              </w:rPr>
            </w:pPr>
          </w:p>
        </w:tc>
      </w:tr>
      <w:tr w:rsidR="00AB0BF5" w:rsidRPr="00AB0BF5" w:rsidTr="00AB0BF5">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2</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Комфортность условий предоставления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2.1. Обеспечение в организации социальной сферы комфортных условий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100,0</w:t>
            </w:r>
          </w:p>
        </w:tc>
        <w:tc>
          <w:tcPr>
            <w:tcW w:w="3827" w:type="dxa"/>
            <w:tcBorders>
              <w:top w:val="nil"/>
              <w:left w:val="nil"/>
              <w:bottom w:val="single" w:sz="4" w:space="0" w:color="auto"/>
              <w:right w:val="single" w:sz="4" w:space="0" w:color="auto"/>
            </w:tcBorders>
            <w:shd w:val="clear" w:color="auto" w:fill="auto"/>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Для повышения показателей комфортности предоставления услуг необходимо предпринять меры для устранения выявленных недостатков</w:t>
            </w:r>
          </w:p>
        </w:tc>
      </w:tr>
      <w:tr w:rsidR="00AB0BF5" w:rsidRPr="00AB0BF5" w:rsidTr="00AB0BF5">
        <w:trPr>
          <w:trHeight w:val="300"/>
        </w:trPr>
        <w:tc>
          <w:tcPr>
            <w:tcW w:w="467"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2.2. Время ожидания предоставления услуги (в ОО рассчитывается как среднее арифметическое между показателями 2.1 и 2.3)</w:t>
            </w:r>
          </w:p>
        </w:tc>
        <w:tc>
          <w:tcPr>
            <w:tcW w:w="1601"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98,8</w:t>
            </w:r>
          </w:p>
        </w:tc>
        <w:tc>
          <w:tcPr>
            <w:tcW w:w="382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r w:rsidRPr="00AB0BF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sz w:val="20"/>
                <w:szCs w:val="20"/>
                <w:lang w:eastAsia="ru-RU"/>
              </w:rPr>
            </w:pPr>
          </w:p>
        </w:tc>
      </w:tr>
      <w:tr w:rsidR="00AB0BF5" w:rsidRPr="00AB0BF5" w:rsidTr="00AB0BF5">
        <w:trPr>
          <w:trHeight w:val="300"/>
        </w:trPr>
        <w:tc>
          <w:tcPr>
            <w:tcW w:w="467"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 xml:space="preserve">2.3. Доля получателей услуг, удовлетворенных комфортностью </w:t>
            </w:r>
            <w:r w:rsidRPr="00AB0BF5">
              <w:rPr>
                <w:rFonts w:ascii="Times New Roman" w:eastAsia="Times New Roman" w:hAnsi="Times New Roman" w:cs="Times New Roman"/>
                <w:color w:val="000000"/>
                <w:sz w:val="20"/>
                <w:szCs w:val="20"/>
                <w:lang w:eastAsia="ru-RU"/>
              </w:rPr>
              <w:lastRenderedPageBreak/>
              <w:t>предоставления услуг организацией</w:t>
            </w:r>
          </w:p>
        </w:tc>
        <w:tc>
          <w:tcPr>
            <w:tcW w:w="1601"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97,6</w:t>
            </w:r>
          </w:p>
        </w:tc>
        <w:tc>
          <w:tcPr>
            <w:tcW w:w="382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r w:rsidRPr="00AB0BF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sz w:val="20"/>
                <w:szCs w:val="20"/>
                <w:lang w:eastAsia="ru-RU"/>
              </w:rPr>
            </w:pPr>
          </w:p>
        </w:tc>
      </w:tr>
      <w:tr w:rsidR="00AB0BF5" w:rsidRPr="00AB0BF5" w:rsidTr="00AB0BF5">
        <w:trPr>
          <w:trHeight w:val="300"/>
        </w:trPr>
        <w:tc>
          <w:tcPr>
            <w:tcW w:w="46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lastRenderedPageBreak/>
              <w:t>3</w:t>
            </w:r>
          </w:p>
        </w:tc>
        <w:tc>
          <w:tcPr>
            <w:tcW w:w="1834"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Доступность услуг для инвалидов</w:t>
            </w:r>
          </w:p>
        </w:tc>
        <w:tc>
          <w:tcPr>
            <w:tcW w:w="2209"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3.1. Оборудование помещений организации социальной сферы и прилегающей к ней территории с учетом доступности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60,0</w:t>
            </w:r>
          </w:p>
        </w:tc>
        <w:tc>
          <w:tcPr>
            <w:tcW w:w="3827" w:type="dxa"/>
            <w:vMerge w:val="restart"/>
            <w:tcBorders>
              <w:top w:val="nil"/>
              <w:left w:val="single" w:sz="4" w:space="0" w:color="auto"/>
              <w:bottom w:val="single" w:sz="4" w:space="0" w:color="auto"/>
              <w:right w:val="single" w:sz="4" w:space="0" w:color="auto"/>
            </w:tcBorders>
            <w:shd w:val="clear" w:color="auto" w:fill="auto"/>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Отсутствует:  сменные кресла-коляски;</w:t>
            </w:r>
            <w:r>
              <w:rPr>
                <w:rFonts w:ascii="Times New Roman" w:eastAsia="Times New Roman" w:hAnsi="Times New Roman" w:cs="Times New Roman"/>
                <w:color w:val="000000"/>
                <w:lang w:eastAsia="ru-RU"/>
              </w:rPr>
              <w:t xml:space="preserve"> </w:t>
            </w:r>
            <w:r w:rsidRPr="00AB0BF5">
              <w:rPr>
                <w:rFonts w:ascii="Times New Roman" w:eastAsia="Times New Roman" w:hAnsi="Times New Roman" w:cs="Times New Roman"/>
                <w:color w:val="000000"/>
                <w:lang w:eastAsia="ru-RU"/>
              </w:rPr>
              <w:t>специально оборудованные санитарно-гигиенические помещения;</w:t>
            </w:r>
            <w:r>
              <w:rPr>
                <w:rFonts w:ascii="Times New Roman" w:eastAsia="Times New Roman" w:hAnsi="Times New Roman" w:cs="Times New Roman"/>
                <w:color w:val="000000"/>
                <w:lang w:eastAsia="ru-RU"/>
              </w:rPr>
              <w:t xml:space="preserve"> </w:t>
            </w:r>
            <w:r w:rsidRPr="00AB0BF5">
              <w:rPr>
                <w:rFonts w:ascii="Times New Roman" w:eastAsia="Times New Roman" w:hAnsi="Times New Roman" w:cs="Times New Roman"/>
                <w:color w:val="000000"/>
                <w:lang w:eastAsia="ru-RU"/>
              </w:rPr>
              <w:t>дублирование для инвалидов по слуху и зрению звуковой и зрительной информации;</w:t>
            </w:r>
            <w:r>
              <w:rPr>
                <w:rFonts w:ascii="Times New Roman" w:eastAsia="Times New Roman" w:hAnsi="Times New Roman" w:cs="Times New Roman"/>
                <w:color w:val="000000"/>
                <w:lang w:eastAsia="ru-RU"/>
              </w:rPr>
              <w:t xml:space="preserve"> </w:t>
            </w:r>
            <w:r w:rsidRPr="00AB0BF5">
              <w:rPr>
                <w:rFonts w:ascii="Times New Roman" w:eastAsia="Times New Roman" w:hAnsi="Times New Roman" w:cs="Times New Roman"/>
                <w:color w:val="000000"/>
                <w:lang w:eastAsia="ru-RU"/>
              </w:rPr>
              <w:t>дублирование надписей, знаков и иной текстовой и графической информации знаками, выполненными рельефно-точечным шрифтом Брайля;</w:t>
            </w:r>
            <w:r>
              <w:rPr>
                <w:rFonts w:ascii="Times New Roman" w:eastAsia="Times New Roman" w:hAnsi="Times New Roman" w:cs="Times New Roman"/>
                <w:color w:val="000000"/>
                <w:lang w:eastAsia="ru-RU"/>
              </w:rPr>
              <w:t xml:space="preserve"> </w:t>
            </w:r>
            <w:r w:rsidRPr="00AB0BF5">
              <w:rPr>
                <w:rFonts w:ascii="Times New Roman" w:eastAsia="Times New Roman" w:hAnsi="Times New Roman" w:cs="Times New Roman"/>
                <w:color w:val="000000"/>
                <w:lang w:eastAsia="ru-RU"/>
              </w:rPr>
              <w:t xml:space="preserve">возможность предоставления инвалидам по слуху (слуху и зрению) услуг </w:t>
            </w:r>
            <w:proofErr w:type="spellStart"/>
            <w:r w:rsidRPr="00AB0BF5">
              <w:rPr>
                <w:rFonts w:ascii="Times New Roman" w:eastAsia="Times New Roman" w:hAnsi="Times New Roman" w:cs="Times New Roman"/>
                <w:color w:val="000000"/>
                <w:lang w:eastAsia="ru-RU"/>
              </w:rPr>
              <w:t>сурдопереводчика</w:t>
            </w:r>
            <w:proofErr w:type="spellEnd"/>
            <w:r w:rsidRPr="00AB0BF5">
              <w:rPr>
                <w:rFonts w:ascii="Times New Roman" w:eastAsia="Times New Roman" w:hAnsi="Times New Roman" w:cs="Times New Roman"/>
                <w:color w:val="000000"/>
                <w:lang w:eastAsia="ru-RU"/>
              </w:rPr>
              <w:t xml:space="preserve"> (</w:t>
            </w:r>
            <w:proofErr w:type="spellStart"/>
            <w:r w:rsidRPr="00AB0BF5">
              <w:rPr>
                <w:rFonts w:ascii="Times New Roman" w:eastAsia="Times New Roman" w:hAnsi="Times New Roman" w:cs="Times New Roman"/>
                <w:color w:val="000000"/>
                <w:lang w:eastAsia="ru-RU"/>
              </w:rPr>
              <w:t>тифлосурдопереводчика</w:t>
            </w:r>
            <w:proofErr w:type="spellEnd"/>
            <w:r w:rsidRPr="00AB0BF5">
              <w:rPr>
                <w:rFonts w:ascii="Times New Roman" w:eastAsia="Times New Roman" w:hAnsi="Times New Roman" w:cs="Times New Roman"/>
                <w:color w:val="000000"/>
                <w:lang w:eastAsia="ru-RU"/>
              </w:rPr>
              <w:t>)</w:t>
            </w:r>
            <w:proofErr w:type="gramStart"/>
            <w:r w:rsidRPr="00AB0BF5">
              <w:rPr>
                <w:rFonts w:ascii="Times New Roman" w:eastAsia="Times New Roman" w:hAnsi="Times New Roman" w:cs="Times New Roman"/>
                <w:color w:val="000000"/>
                <w:lang w:eastAsia="ru-RU"/>
              </w:rPr>
              <w:t>;п</w:t>
            </w:r>
            <w:proofErr w:type="gramEnd"/>
            <w:r w:rsidRPr="00AB0BF5">
              <w:rPr>
                <w:rFonts w:ascii="Times New Roman" w:eastAsia="Times New Roman" w:hAnsi="Times New Roman" w:cs="Times New Roman"/>
                <w:color w:val="000000"/>
                <w:lang w:eastAsia="ru-RU"/>
              </w:rPr>
              <w:t>омощь, оказываемая работниками организации, прошедшими необходимое обучение по сопровождению инвалидов в организации.</w:t>
            </w:r>
          </w:p>
        </w:tc>
        <w:tc>
          <w:tcPr>
            <w:tcW w:w="3338"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 xml:space="preserve">Для повышения показателей доступности услуг для инвалидов необходимо оценить возможность (в т. ч. техническую), а также необходимость устранения выявленных недостатков </w:t>
            </w:r>
            <w:proofErr w:type="spellStart"/>
            <w:r w:rsidRPr="00AB0BF5">
              <w:rPr>
                <w:rFonts w:ascii="Times New Roman" w:eastAsia="Times New Roman" w:hAnsi="Times New Roman" w:cs="Times New Roman"/>
                <w:color w:val="000000"/>
                <w:lang w:eastAsia="ru-RU"/>
              </w:rPr>
              <w:t>оборудованности</w:t>
            </w:r>
            <w:proofErr w:type="spellEnd"/>
            <w:r w:rsidRPr="00AB0BF5">
              <w:rPr>
                <w:rFonts w:ascii="Times New Roman" w:eastAsia="Times New Roman" w:hAnsi="Times New Roman" w:cs="Times New Roman"/>
                <w:color w:val="000000"/>
                <w:lang w:eastAsia="ru-RU"/>
              </w:rPr>
              <w:t xml:space="preserve"> организации, с учетом наличия определенных категорий получателей услуг с ограниченными возможностями</w:t>
            </w:r>
          </w:p>
        </w:tc>
      </w:tr>
      <w:tr w:rsidR="00AB0BF5" w:rsidRPr="00AB0BF5" w:rsidTr="00AB0BF5">
        <w:trPr>
          <w:trHeight w:val="300"/>
        </w:trPr>
        <w:tc>
          <w:tcPr>
            <w:tcW w:w="467"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3.2. Обеспечение в организации социальной сферы условий доступности, позволяющих инвалидам получать услуги наравне с другими</w:t>
            </w:r>
          </w:p>
        </w:tc>
        <w:tc>
          <w:tcPr>
            <w:tcW w:w="1601"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40,0</w:t>
            </w:r>
          </w:p>
        </w:tc>
        <w:tc>
          <w:tcPr>
            <w:tcW w:w="3827"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lang w:eastAsia="ru-RU"/>
              </w:rPr>
            </w:pPr>
          </w:p>
        </w:tc>
        <w:tc>
          <w:tcPr>
            <w:tcW w:w="3338"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lang w:eastAsia="ru-RU"/>
              </w:rPr>
            </w:pPr>
          </w:p>
        </w:tc>
      </w:tr>
      <w:tr w:rsidR="00AB0BF5" w:rsidRPr="00AB0BF5" w:rsidTr="00AB0BF5">
        <w:trPr>
          <w:trHeight w:val="300"/>
        </w:trPr>
        <w:tc>
          <w:tcPr>
            <w:tcW w:w="467"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3.3. Доля получателей услуг, удовлетворенных доступностью для инвалидов</w:t>
            </w:r>
          </w:p>
        </w:tc>
        <w:tc>
          <w:tcPr>
            <w:tcW w:w="1601"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88,9</w:t>
            </w:r>
          </w:p>
        </w:tc>
        <w:tc>
          <w:tcPr>
            <w:tcW w:w="382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r w:rsidRPr="00AB0BF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lang w:eastAsia="ru-RU"/>
              </w:rPr>
            </w:pPr>
          </w:p>
        </w:tc>
      </w:tr>
      <w:tr w:rsidR="00AB0BF5" w:rsidRPr="00AB0BF5" w:rsidTr="00AB0BF5">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4</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Доброжелательность, вежливость работников организации социальной сферы</w:t>
            </w:r>
          </w:p>
        </w:tc>
        <w:tc>
          <w:tcPr>
            <w:tcW w:w="2209"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 xml:space="preserve">4.1. Доля получателей услуг, удовлетворенных доброжелательностью, вежливостью работников организации социальной сферы, обеспечивающих первичный контакт и информирование получателя услуги при </w:t>
            </w:r>
            <w:r w:rsidRPr="00AB0BF5">
              <w:rPr>
                <w:rFonts w:ascii="Times New Roman" w:eastAsia="Times New Roman" w:hAnsi="Times New Roman" w:cs="Times New Roman"/>
                <w:color w:val="000000"/>
                <w:sz w:val="20"/>
                <w:szCs w:val="20"/>
                <w:lang w:eastAsia="ru-RU"/>
              </w:rPr>
              <w:lastRenderedPageBreak/>
              <w:t>непосредственном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97,1</w:t>
            </w:r>
          </w:p>
        </w:tc>
        <w:tc>
          <w:tcPr>
            <w:tcW w:w="382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r w:rsidRPr="00AB0BF5">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Для повышения показателей доброжелательности, вежливости работников организации необходимо предпринять меры по устранению выявленных недостатков, организовывать и улучшать работу по повышению доброжелательности и вежливости работников ОО</w:t>
            </w:r>
          </w:p>
        </w:tc>
      </w:tr>
      <w:tr w:rsidR="00AB0BF5" w:rsidRPr="00AB0BF5" w:rsidTr="00AB0BF5">
        <w:trPr>
          <w:trHeight w:val="300"/>
        </w:trPr>
        <w:tc>
          <w:tcPr>
            <w:tcW w:w="467"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4.2. Доля получателей услуг, удовлетворённых доброжелательностью, вежливостью работников организации социальной сферы, обеспечивающих непосредственное оказание услуги при обращении в организацию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97,2</w:t>
            </w:r>
          </w:p>
        </w:tc>
        <w:tc>
          <w:tcPr>
            <w:tcW w:w="382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r w:rsidRPr="00AB0BF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sz w:val="20"/>
                <w:szCs w:val="20"/>
                <w:lang w:eastAsia="ru-RU"/>
              </w:rPr>
            </w:pPr>
          </w:p>
        </w:tc>
      </w:tr>
      <w:tr w:rsidR="00AB0BF5" w:rsidRPr="00AB0BF5" w:rsidTr="00AB0BF5">
        <w:trPr>
          <w:trHeight w:val="300"/>
        </w:trPr>
        <w:tc>
          <w:tcPr>
            <w:tcW w:w="467"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4.3. Доля получателей услуг, удовлетворённых доброжелательностью, вежливостью работников организации социальной сферы при использовании дистанционных форм взаимодействия</w:t>
            </w:r>
          </w:p>
        </w:tc>
        <w:tc>
          <w:tcPr>
            <w:tcW w:w="1601"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99,5</w:t>
            </w:r>
          </w:p>
        </w:tc>
        <w:tc>
          <w:tcPr>
            <w:tcW w:w="382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r w:rsidRPr="00AB0BF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sz w:val="20"/>
                <w:szCs w:val="20"/>
                <w:lang w:eastAsia="ru-RU"/>
              </w:rPr>
            </w:pPr>
          </w:p>
        </w:tc>
      </w:tr>
      <w:tr w:rsidR="00AB0BF5" w:rsidRPr="00AB0BF5" w:rsidTr="00AB0BF5">
        <w:trPr>
          <w:trHeight w:val="300"/>
        </w:trPr>
        <w:tc>
          <w:tcPr>
            <w:tcW w:w="467" w:type="dxa"/>
            <w:vMerge w:val="restart"/>
            <w:tcBorders>
              <w:top w:val="nil"/>
              <w:left w:val="single" w:sz="4" w:space="0" w:color="auto"/>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5</w:t>
            </w:r>
          </w:p>
        </w:tc>
        <w:tc>
          <w:tcPr>
            <w:tcW w:w="1834" w:type="dxa"/>
            <w:vMerge w:val="restart"/>
            <w:tcBorders>
              <w:top w:val="nil"/>
              <w:left w:val="single" w:sz="4" w:space="0" w:color="auto"/>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Удовлетворенность условиями оказания услуг</w:t>
            </w:r>
          </w:p>
        </w:tc>
        <w:tc>
          <w:tcPr>
            <w:tcW w:w="2209"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5.1. Доля получателей услуг, которые готовы рекомендовать организацию социальной сферы родственникам и знакомым</w:t>
            </w:r>
          </w:p>
        </w:tc>
        <w:tc>
          <w:tcPr>
            <w:tcW w:w="1601"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97,2</w:t>
            </w:r>
          </w:p>
        </w:tc>
        <w:tc>
          <w:tcPr>
            <w:tcW w:w="382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r w:rsidRPr="00AB0BF5">
              <w:rPr>
                <w:rFonts w:ascii="Calibri" w:eastAsia="Times New Roman" w:hAnsi="Calibri" w:cs="Times New Roman"/>
                <w:color w:val="000000"/>
                <w:lang w:eastAsia="ru-RU"/>
              </w:rPr>
              <w:t>-</w:t>
            </w:r>
          </w:p>
        </w:tc>
        <w:tc>
          <w:tcPr>
            <w:tcW w:w="3338" w:type="dxa"/>
            <w:vMerge w:val="restart"/>
            <w:tcBorders>
              <w:top w:val="nil"/>
              <w:left w:val="single" w:sz="4" w:space="0" w:color="auto"/>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 xml:space="preserve">Для повышения показателей удовлетворенности условиями оказания услуг необходимо предпринять меры по устранению выявленных недостатков, проводить постоянный мониторинг, анализ и </w:t>
            </w:r>
            <w:proofErr w:type="gramStart"/>
            <w:r w:rsidRPr="00AB0BF5">
              <w:rPr>
                <w:rFonts w:ascii="Times New Roman" w:eastAsia="Times New Roman" w:hAnsi="Times New Roman" w:cs="Times New Roman"/>
                <w:color w:val="000000"/>
                <w:sz w:val="20"/>
                <w:szCs w:val="20"/>
                <w:lang w:eastAsia="ru-RU"/>
              </w:rPr>
              <w:t>контроль за</w:t>
            </w:r>
            <w:proofErr w:type="gramEnd"/>
            <w:r w:rsidRPr="00AB0BF5">
              <w:rPr>
                <w:rFonts w:ascii="Times New Roman" w:eastAsia="Times New Roman" w:hAnsi="Times New Roman" w:cs="Times New Roman"/>
                <w:color w:val="000000"/>
                <w:sz w:val="20"/>
                <w:szCs w:val="20"/>
                <w:lang w:eastAsia="ru-RU"/>
              </w:rPr>
              <w:t xml:space="preserve"> качеством предоставляемых услуг</w:t>
            </w:r>
          </w:p>
        </w:tc>
      </w:tr>
      <w:tr w:rsidR="00AB0BF5" w:rsidRPr="00AB0BF5" w:rsidTr="00AB0BF5">
        <w:trPr>
          <w:trHeight w:val="300"/>
        </w:trPr>
        <w:tc>
          <w:tcPr>
            <w:tcW w:w="467"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 xml:space="preserve">5.2. Доля получателей услуг, удовлетворённых организационными </w:t>
            </w:r>
            <w:r w:rsidRPr="00AB0BF5">
              <w:rPr>
                <w:rFonts w:ascii="Times New Roman" w:eastAsia="Times New Roman" w:hAnsi="Times New Roman" w:cs="Times New Roman"/>
                <w:color w:val="000000"/>
                <w:sz w:val="20"/>
                <w:szCs w:val="20"/>
                <w:lang w:eastAsia="ru-RU"/>
              </w:rPr>
              <w:lastRenderedPageBreak/>
              <w:t>условиями предоставления услуг</w:t>
            </w:r>
          </w:p>
        </w:tc>
        <w:tc>
          <w:tcPr>
            <w:tcW w:w="1601"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lastRenderedPageBreak/>
              <w:t>100</w:t>
            </w:r>
          </w:p>
        </w:tc>
        <w:tc>
          <w:tcPr>
            <w:tcW w:w="141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95,1</w:t>
            </w:r>
          </w:p>
        </w:tc>
        <w:tc>
          <w:tcPr>
            <w:tcW w:w="382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r w:rsidRPr="00AB0BF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sz w:val="20"/>
                <w:szCs w:val="20"/>
                <w:lang w:eastAsia="ru-RU"/>
              </w:rPr>
            </w:pPr>
          </w:p>
        </w:tc>
      </w:tr>
      <w:tr w:rsidR="00AB0BF5" w:rsidRPr="00AB0BF5" w:rsidTr="00AB0BF5">
        <w:trPr>
          <w:trHeight w:val="300"/>
        </w:trPr>
        <w:tc>
          <w:tcPr>
            <w:tcW w:w="467"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sz w:val="20"/>
                <w:szCs w:val="20"/>
                <w:lang w:eastAsia="ru-RU"/>
              </w:rPr>
            </w:pPr>
          </w:p>
        </w:tc>
        <w:tc>
          <w:tcPr>
            <w:tcW w:w="1834"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sz w:val="20"/>
                <w:szCs w:val="20"/>
                <w:lang w:eastAsia="ru-RU"/>
              </w:rPr>
            </w:pPr>
          </w:p>
        </w:tc>
        <w:tc>
          <w:tcPr>
            <w:tcW w:w="2209"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5.3. Доля получателей Услуг, удовлетворенных в целом условиями оказания услуг в организации социальной сферы</w:t>
            </w:r>
          </w:p>
        </w:tc>
        <w:tc>
          <w:tcPr>
            <w:tcW w:w="1601"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sz w:val="20"/>
                <w:szCs w:val="20"/>
                <w:lang w:eastAsia="ru-RU"/>
              </w:rPr>
            </w:pPr>
            <w:r w:rsidRPr="00AB0BF5">
              <w:rPr>
                <w:rFonts w:ascii="Times New Roman" w:eastAsia="Times New Roman" w:hAnsi="Times New Roman" w:cs="Times New Roman"/>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98,3</w:t>
            </w:r>
          </w:p>
        </w:tc>
        <w:tc>
          <w:tcPr>
            <w:tcW w:w="382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r w:rsidRPr="00AB0BF5">
              <w:rPr>
                <w:rFonts w:ascii="Calibri" w:eastAsia="Times New Roman" w:hAnsi="Calibri" w:cs="Times New Roman"/>
                <w:color w:val="000000"/>
                <w:lang w:eastAsia="ru-RU"/>
              </w:rPr>
              <w:t>-</w:t>
            </w:r>
          </w:p>
        </w:tc>
        <w:tc>
          <w:tcPr>
            <w:tcW w:w="3338" w:type="dxa"/>
            <w:vMerge/>
            <w:tcBorders>
              <w:top w:val="nil"/>
              <w:left w:val="single" w:sz="4" w:space="0" w:color="auto"/>
              <w:bottom w:val="single" w:sz="4" w:space="0" w:color="auto"/>
              <w:right w:val="single" w:sz="4" w:space="0" w:color="auto"/>
            </w:tcBorders>
            <w:vAlign w:val="center"/>
            <w:hideMark/>
          </w:tcPr>
          <w:p w:rsidR="00AB0BF5" w:rsidRPr="00AB0BF5" w:rsidRDefault="00AB0BF5" w:rsidP="00AB0BF5">
            <w:pPr>
              <w:spacing w:after="0" w:line="240" w:lineRule="auto"/>
              <w:rPr>
                <w:rFonts w:ascii="Times New Roman" w:eastAsia="Times New Roman" w:hAnsi="Times New Roman" w:cs="Times New Roman"/>
                <w:color w:val="000000"/>
                <w:sz w:val="20"/>
                <w:szCs w:val="20"/>
                <w:lang w:eastAsia="ru-RU"/>
              </w:rPr>
            </w:pPr>
          </w:p>
        </w:tc>
      </w:tr>
      <w:tr w:rsidR="00AB0BF5" w:rsidRPr="00AB0BF5" w:rsidTr="00AB0BF5">
        <w:trPr>
          <w:trHeight w:val="300"/>
        </w:trPr>
        <w:tc>
          <w:tcPr>
            <w:tcW w:w="467" w:type="dxa"/>
            <w:tcBorders>
              <w:top w:val="nil"/>
              <w:left w:val="single" w:sz="4" w:space="0" w:color="auto"/>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b/>
                <w:bCs/>
                <w:color w:val="000000"/>
                <w:sz w:val="20"/>
                <w:szCs w:val="20"/>
                <w:lang w:eastAsia="ru-RU"/>
              </w:rPr>
            </w:pPr>
            <w:r w:rsidRPr="00AB0BF5">
              <w:rPr>
                <w:rFonts w:ascii="Times New Roman" w:eastAsia="Times New Roman" w:hAnsi="Times New Roman" w:cs="Times New Roman"/>
                <w:b/>
                <w:bCs/>
                <w:color w:val="000000"/>
                <w:sz w:val="20"/>
                <w:szCs w:val="20"/>
                <w:lang w:eastAsia="ru-RU"/>
              </w:rPr>
              <w:t> </w:t>
            </w:r>
          </w:p>
        </w:tc>
        <w:tc>
          <w:tcPr>
            <w:tcW w:w="1834"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b/>
                <w:bCs/>
                <w:color w:val="000000"/>
                <w:sz w:val="20"/>
                <w:szCs w:val="20"/>
                <w:lang w:eastAsia="ru-RU"/>
              </w:rPr>
            </w:pPr>
            <w:r w:rsidRPr="00AB0BF5">
              <w:rPr>
                <w:rFonts w:ascii="Times New Roman" w:eastAsia="Times New Roman" w:hAnsi="Times New Roman" w:cs="Times New Roman"/>
                <w:b/>
                <w:bCs/>
                <w:color w:val="000000"/>
                <w:sz w:val="20"/>
                <w:szCs w:val="20"/>
                <w:lang w:eastAsia="ru-RU"/>
              </w:rPr>
              <w:t>Итого</w:t>
            </w:r>
          </w:p>
        </w:tc>
        <w:tc>
          <w:tcPr>
            <w:tcW w:w="2209"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b/>
                <w:bCs/>
                <w:color w:val="000000"/>
                <w:sz w:val="20"/>
                <w:szCs w:val="20"/>
                <w:lang w:eastAsia="ru-RU"/>
              </w:rPr>
            </w:pPr>
            <w:r w:rsidRPr="00AB0BF5">
              <w:rPr>
                <w:rFonts w:ascii="Times New Roman" w:eastAsia="Times New Roman" w:hAnsi="Times New Roman" w:cs="Times New Roman"/>
                <w:b/>
                <w:bCs/>
                <w:color w:val="000000"/>
                <w:sz w:val="20"/>
                <w:szCs w:val="20"/>
                <w:lang w:eastAsia="ru-RU"/>
              </w:rPr>
              <w:t> </w:t>
            </w:r>
          </w:p>
        </w:tc>
        <w:tc>
          <w:tcPr>
            <w:tcW w:w="1601"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b/>
                <w:bCs/>
                <w:color w:val="000000"/>
                <w:sz w:val="20"/>
                <w:szCs w:val="20"/>
                <w:lang w:eastAsia="ru-RU"/>
              </w:rPr>
            </w:pPr>
            <w:r w:rsidRPr="00AB0BF5">
              <w:rPr>
                <w:rFonts w:ascii="Times New Roman" w:eastAsia="Times New Roman" w:hAnsi="Times New Roman" w:cs="Times New Roman"/>
                <w:b/>
                <w:bCs/>
                <w:color w:val="000000"/>
                <w:sz w:val="20"/>
                <w:szCs w:val="20"/>
                <w:lang w:eastAsia="ru-RU"/>
              </w:rPr>
              <w:t>100</w:t>
            </w:r>
          </w:p>
        </w:tc>
        <w:tc>
          <w:tcPr>
            <w:tcW w:w="141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Times New Roman" w:eastAsia="Times New Roman" w:hAnsi="Times New Roman" w:cs="Times New Roman"/>
                <w:color w:val="000000"/>
                <w:lang w:eastAsia="ru-RU"/>
              </w:rPr>
            </w:pPr>
            <w:r w:rsidRPr="00AB0BF5">
              <w:rPr>
                <w:rFonts w:ascii="Times New Roman" w:eastAsia="Times New Roman" w:hAnsi="Times New Roman" w:cs="Times New Roman"/>
                <w:color w:val="000000"/>
                <w:lang w:eastAsia="ru-RU"/>
              </w:rPr>
              <w:t>89,9</w:t>
            </w:r>
          </w:p>
        </w:tc>
        <w:tc>
          <w:tcPr>
            <w:tcW w:w="3827" w:type="dxa"/>
            <w:tcBorders>
              <w:top w:val="nil"/>
              <w:left w:val="nil"/>
              <w:bottom w:val="single" w:sz="4" w:space="0" w:color="auto"/>
              <w:right w:val="single" w:sz="4" w:space="0" w:color="auto"/>
            </w:tcBorders>
            <w:shd w:val="clear" w:color="auto" w:fill="auto"/>
            <w:noWrap/>
            <w:vAlign w:val="center"/>
            <w:hideMark/>
          </w:tcPr>
          <w:p w:rsidR="00AB0BF5" w:rsidRPr="00AB0BF5" w:rsidRDefault="00AB0BF5" w:rsidP="00AB0BF5">
            <w:pPr>
              <w:spacing w:after="0" w:line="240" w:lineRule="auto"/>
              <w:jc w:val="center"/>
              <w:rPr>
                <w:rFonts w:ascii="Calibri" w:eastAsia="Times New Roman" w:hAnsi="Calibri" w:cs="Times New Roman"/>
                <w:color w:val="000000"/>
                <w:lang w:eastAsia="ru-RU"/>
              </w:rPr>
            </w:pPr>
            <w:r w:rsidRPr="00AB0BF5">
              <w:rPr>
                <w:rFonts w:ascii="Calibri" w:eastAsia="Times New Roman" w:hAnsi="Calibri" w:cs="Times New Roman"/>
                <w:color w:val="000000"/>
                <w:lang w:eastAsia="ru-RU"/>
              </w:rPr>
              <w:t> </w:t>
            </w:r>
          </w:p>
        </w:tc>
        <w:tc>
          <w:tcPr>
            <w:tcW w:w="3338" w:type="dxa"/>
            <w:tcBorders>
              <w:top w:val="nil"/>
              <w:left w:val="nil"/>
              <w:bottom w:val="single" w:sz="4" w:space="0" w:color="auto"/>
              <w:right w:val="single" w:sz="4" w:space="0" w:color="auto"/>
            </w:tcBorders>
            <w:shd w:val="clear" w:color="000000" w:fill="FFFFFF"/>
            <w:vAlign w:val="center"/>
            <w:hideMark/>
          </w:tcPr>
          <w:p w:rsidR="00AB0BF5" w:rsidRPr="00AB0BF5" w:rsidRDefault="00AB0BF5" w:rsidP="00AB0BF5">
            <w:pPr>
              <w:spacing w:after="0" w:line="240" w:lineRule="auto"/>
              <w:jc w:val="center"/>
              <w:rPr>
                <w:rFonts w:ascii="Times New Roman" w:eastAsia="Times New Roman" w:hAnsi="Times New Roman" w:cs="Times New Roman"/>
                <w:b/>
                <w:bCs/>
                <w:color w:val="000000"/>
                <w:sz w:val="20"/>
                <w:szCs w:val="20"/>
                <w:lang w:eastAsia="ru-RU"/>
              </w:rPr>
            </w:pPr>
            <w:r w:rsidRPr="00AB0BF5">
              <w:rPr>
                <w:rFonts w:ascii="Times New Roman" w:eastAsia="Times New Roman" w:hAnsi="Times New Roman" w:cs="Times New Roman"/>
                <w:b/>
                <w:bCs/>
                <w:color w:val="000000"/>
                <w:sz w:val="20"/>
                <w:szCs w:val="20"/>
                <w:lang w:eastAsia="ru-RU"/>
              </w:rPr>
              <w:t> </w:t>
            </w:r>
          </w:p>
        </w:tc>
      </w:tr>
    </w:tbl>
    <w:p w:rsidR="0046022A" w:rsidRPr="00AB0BF5" w:rsidRDefault="0046022A" w:rsidP="00AB0BF5"/>
    <w:sectPr w:rsidR="0046022A" w:rsidRPr="00AB0BF5" w:rsidSect="005E1F4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7BCB"/>
    <w:rsid w:val="00210C92"/>
    <w:rsid w:val="00217B48"/>
    <w:rsid w:val="00240CB5"/>
    <w:rsid w:val="00366C82"/>
    <w:rsid w:val="003C5D20"/>
    <w:rsid w:val="0046022A"/>
    <w:rsid w:val="004D78D6"/>
    <w:rsid w:val="00501AAB"/>
    <w:rsid w:val="005E1F4D"/>
    <w:rsid w:val="0061791D"/>
    <w:rsid w:val="00787C78"/>
    <w:rsid w:val="00870D8A"/>
    <w:rsid w:val="009A7BCB"/>
    <w:rsid w:val="00A00D74"/>
    <w:rsid w:val="00AB0BF5"/>
    <w:rsid w:val="00AF7928"/>
    <w:rsid w:val="00CC3822"/>
    <w:rsid w:val="00CF5B14"/>
    <w:rsid w:val="00DB06DD"/>
    <w:rsid w:val="00E170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0871132">
      <w:bodyDiv w:val="1"/>
      <w:marLeft w:val="0"/>
      <w:marRight w:val="0"/>
      <w:marTop w:val="0"/>
      <w:marBottom w:val="0"/>
      <w:divBdr>
        <w:top w:val="none" w:sz="0" w:space="0" w:color="auto"/>
        <w:left w:val="none" w:sz="0" w:space="0" w:color="auto"/>
        <w:bottom w:val="none" w:sz="0" w:space="0" w:color="auto"/>
        <w:right w:val="none" w:sz="0" w:space="0" w:color="auto"/>
      </w:divBdr>
    </w:div>
    <w:div w:id="531116276">
      <w:bodyDiv w:val="1"/>
      <w:marLeft w:val="0"/>
      <w:marRight w:val="0"/>
      <w:marTop w:val="0"/>
      <w:marBottom w:val="0"/>
      <w:divBdr>
        <w:top w:val="none" w:sz="0" w:space="0" w:color="auto"/>
        <w:left w:val="none" w:sz="0" w:space="0" w:color="auto"/>
        <w:bottom w:val="none" w:sz="0" w:space="0" w:color="auto"/>
        <w:right w:val="none" w:sz="0" w:space="0" w:color="auto"/>
      </w:divBdr>
    </w:div>
    <w:div w:id="570773757">
      <w:bodyDiv w:val="1"/>
      <w:marLeft w:val="0"/>
      <w:marRight w:val="0"/>
      <w:marTop w:val="0"/>
      <w:marBottom w:val="0"/>
      <w:divBdr>
        <w:top w:val="none" w:sz="0" w:space="0" w:color="auto"/>
        <w:left w:val="none" w:sz="0" w:space="0" w:color="auto"/>
        <w:bottom w:val="none" w:sz="0" w:space="0" w:color="auto"/>
        <w:right w:val="none" w:sz="0" w:space="0" w:color="auto"/>
      </w:divBdr>
    </w:div>
    <w:div w:id="696079460">
      <w:bodyDiv w:val="1"/>
      <w:marLeft w:val="0"/>
      <w:marRight w:val="0"/>
      <w:marTop w:val="0"/>
      <w:marBottom w:val="0"/>
      <w:divBdr>
        <w:top w:val="none" w:sz="0" w:space="0" w:color="auto"/>
        <w:left w:val="none" w:sz="0" w:space="0" w:color="auto"/>
        <w:bottom w:val="none" w:sz="0" w:space="0" w:color="auto"/>
        <w:right w:val="none" w:sz="0" w:space="0" w:color="auto"/>
      </w:divBdr>
    </w:div>
    <w:div w:id="940643809">
      <w:bodyDiv w:val="1"/>
      <w:marLeft w:val="0"/>
      <w:marRight w:val="0"/>
      <w:marTop w:val="0"/>
      <w:marBottom w:val="0"/>
      <w:divBdr>
        <w:top w:val="none" w:sz="0" w:space="0" w:color="auto"/>
        <w:left w:val="none" w:sz="0" w:space="0" w:color="auto"/>
        <w:bottom w:val="none" w:sz="0" w:space="0" w:color="auto"/>
        <w:right w:val="none" w:sz="0" w:space="0" w:color="auto"/>
      </w:divBdr>
    </w:div>
    <w:div w:id="950361716">
      <w:bodyDiv w:val="1"/>
      <w:marLeft w:val="0"/>
      <w:marRight w:val="0"/>
      <w:marTop w:val="0"/>
      <w:marBottom w:val="0"/>
      <w:divBdr>
        <w:top w:val="none" w:sz="0" w:space="0" w:color="auto"/>
        <w:left w:val="none" w:sz="0" w:space="0" w:color="auto"/>
        <w:bottom w:val="none" w:sz="0" w:space="0" w:color="auto"/>
        <w:right w:val="none" w:sz="0" w:space="0" w:color="auto"/>
      </w:divBdr>
    </w:div>
    <w:div w:id="970862751">
      <w:bodyDiv w:val="1"/>
      <w:marLeft w:val="0"/>
      <w:marRight w:val="0"/>
      <w:marTop w:val="0"/>
      <w:marBottom w:val="0"/>
      <w:divBdr>
        <w:top w:val="none" w:sz="0" w:space="0" w:color="auto"/>
        <w:left w:val="none" w:sz="0" w:space="0" w:color="auto"/>
        <w:bottom w:val="none" w:sz="0" w:space="0" w:color="auto"/>
        <w:right w:val="none" w:sz="0" w:space="0" w:color="auto"/>
      </w:divBdr>
    </w:div>
    <w:div w:id="1001352063">
      <w:bodyDiv w:val="1"/>
      <w:marLeft w:val="0"/>
      <w:marRight w:val="0"/>
      <w:marTop w:val="0"/>
      <w:marBottom w:val="0"/>
      <w:divBdr>
        <w:top w:val="none" w:sz="0" w:space="0" w:color="auto"/>
        <w:left w:val="none" w:sz="0" w:space="0" w:color="auto"/>
        <w:bottom w:val="none" w:sz="0" w:space="0" w:color="auto"/>
        <w:right w:val="none" w:sz="0" w:space="0" w:color="auto"/>
      </w:divBdr>
    </w:div>
    <w:div w:id="1090083589">
      <w:bodyDiv w:val="1"/>
      <w:marLeft w:val="0"/>
      <w:marRight w:val="0"/>
      <w:marTop w:val="0"/>
      <w:marBottom w:val="0"/>
      <w:divBdr>
        <w:top w:val="none" w:sz="0" w:space="0" w:color="auto"/>
        <w:left w:val="none" w:sz="0" w:space="0" w:color="auto"/>
        <w:bottom w:val="none" w:sz="0" w:space="0" w:color="auto"/>
        <w:right w:val="none" w:sz="0" w:space="0" w:color="auto"/>
      </w:divBdr>
    </w:div>
    <w:div w:id="1369329630">
      <w:bodyDiv w:val="1"/>
      <w:marLeft w:val="0"/>
      <w:marRight w:val="0"/>
      <w:marTop w:val="0"/>
      <w:marBottom w:val="0"/>
      <w:divBdr>
        <w:top w:val="none" w:sz="0" w:space="0" w:color="auto"/>
        <w:left w:val="none" w:sz="0" w:space="0" w:color="auto"/>
        <w:bottom w:val="none" w:sz="0" w:space="0" w:color="auto"/>
        <w:right w:val="none" w:sz="0" w:space="0" w:color="auto"/>
      </w:divBdr>
    </w:div>
    <w:div w:id="1589776931">
      <w:bodyDiv w:val="1"/>
      <w:marLeft w:val="0"/>
      <w:marRight w:val="0"/>
      <w:marTop w:val="0"/>
      <w:marBottom w:val="0"/>
      <w:divBdr>
        <w:top w:val="none" w:sz="0" w:space="0" w:color="auto"/>
        <w:left w:val="none" w:sz="0" w:space="0" w:color="auto"/>
        <w:bottom w:val="none" w:sz="0" w:space="0" w:color="auto"/>
        <w:right w:val="none" w:sz="0" w:space="0" w:color="auto"/>
      </w:divBdr>
    </w:div>
    <w:div w:id="1702245934">
      <w:bodyDiv w:val="1"/>
      <w:marLeft w:val="0"/>
      <w:marRight w:val="0"/>
      <w:marTop w:val="0"/>
      <w:marBottom w:val="0"/>
      <w:divBdr>
        <w:top w:val="none" w:sz="0" w:space="0" w:color="auto"/>
        <w:left w:val="none" w:sz="0" w:space="0" w:color="auto"/>
        <w:bottom w:val="none" w:sz="0" w:space="0" w:color="auto"/>
        <w:right w:val="none" w:sz="0" w:space="0" w:color="auto"/>
      </w:divBdr>
    </w:div>
    <w:div w:id="1895652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813</Words>
  <Characters>4636</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5439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USER-PC</dc:creator>
  <cp:lastModifiedBy>USER-PC</cp:lastModifiedBy>
  <cp:revision>2</cp:revision>
  <dcterms:created xsi:type="dcterms:W3CDTF">2022-11-22T19:13:00Z</dcterms:created>
  <dcterms:modified xsi:type="dcterms:W3CDTF">2022-11-22T19:13:00Z</dcterms:modified>
</cp:coreProperties>
</file>